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93208" w:rsidRDefault="00493208" w:rsidP="00493208">
      <w:pPr>
        <w:jc w:val="center"/>
        <w:rPr>
          <w:b/>
          <w:color w:val="auto"/>
          <w:sz w:val="24"/>
          <w:szCs w:val="24"/>
          <w:lang w:bidi="ar-SA"/>
        </w:rPr>
      </w:pPr>
    </w:p>
    <w:p w:rsidR="000F1719" w:rsidRDefault="00493208" w:rsidP="000F1719">
      <w:pPr>
        <w:jc w:val="center"/>
        <w:rPr>
          <w:b/>
          <w:color w:val="auto"/>
          <w:sz w:val="24"/>
          <w:szCs w:val="24"/>
          <w:lang w:bidi="ar-SA"/>
        </w:rPr>
      </w:pPr>
      <w:r w:rsidRPr="000F1719">
        <w:rPr>
          <w:color w:val="auto"/>
          <w:sz w:val="24"/>
          <w:szCs w:val="24"/>
          <w:lang w:bidi="ar-SA"/>
        </w:rPr>
        <w:t>MUSEO DI PALAZZO D’ARCO</w:t>
      </w:r>
      <w:r w:rsidR="000F1719" w:rsidRPr="000F1719">
        <w:rPr>
          <w:b/>
          <w:color w:val="auto"/>
          <w:sz w:val="24"/>
          <w:szCs w:val="24"/>
          <w:lang w:bidi="ar-SA"/>
        </w:rPr>
        <w:t xml:space="preserve"> </w:t>
      </w:r>
    </w:p>
    <w:p w:rsidR="000F1719" w:rsidRDefault="000F1719" w:rsidP="000F1719">
      <w:pPr>
        <w:jc w:val="center"/>
        <w:rPr>
          <w:b/>
          <w:color w:val="auto"/>
          <w:sz w:val="24"/>
          <w:szCs w:val="24"/>
          <w:lang w:bidi="ar-SA"/>
        </w:rPr>
      </w:pPr>
    </w:p>
    <w:p w:rsidR="000F1719" w:rsidRDefault="001E1DC7" w:rsidP="001E1DC7">
      <w:pPr>
        <w:jc w:val="center"/>
        <w:rPr>
          <w:b/>
          <w:color w:val="auto"/>
          <w:sz w:val="24"/>
          <w:szCs w:val="24"/>
          <w:lang w:bidi="ar-SA"/>
        </w:rPr>
      </w:pPr>
      <w:r>
        <w:rPr>
          <w:b/>
          <w:color w:val="auto"/>
          <w:sz w:val="24"/>
          <w:szCs w:val="24"/>
          <w:lang w:bidi="ar-SA"/>
        </w:rPr>
        <w:t xml:space="preserve">La riscoperta di un complesso architettonico </w:t>
      </w:r>
    </w:p>
    <w:p w:rsidR="009802F6" w:rsidRPr="000F1719" w:rsidRDefault="009802F6" w:rsidP="00493208">
      <w:pPr>
        <w:jc w:val="center"/>
        <w:rPr>
          <w:color w:val="auto"/>
          <w:sz w:val="24"/>
          <w:szCs w:val="24"/>
          <w:lang w:bidi="ar-SA"/>
        </w:rPr>
      </w:pPr>
    </w:p>
    <w:p w:rsidR="003A7E73" w:rsidRDefault="003A7E73" w:rsidP="003A7E73">
      <w:pPr>
        <w:ind w:firstLine="708"/>
        <w:jc w:val="both"/>
        <w:rPr>
          <w:color w:val="auto"/>
          <w:sz w:val="24"/>
          <w:szCs w:val="24"/>
          <w:lang w:bidi="ar-SA"/>
        </w:rPr>
      </w:pPr>
      <w:r>
        <w:rPr>
          <w:color w:val="auto"/>
          <w:sz w:val="24"/>
          <w:szCs w:val="24"/>
          <w:lang w:bidi="ar-SA"/>
        </w:rPr>
        <w:t>Il percorso intrapreso parte da un intento, la volontà di riscoprire un complesso di edifici confinante con la seconda cerchia di mura, profondamente legato alla storia e alla committenza di corte, per le famiglie che vi hanno risieduto e per lo spirito collezionistico che le ha animate.</w:t>
      </w:r>
    </w:p>
    <w:p w:rsidR="003A7E73" w:rsidRDefault="003A7E73" w:rsidP="003A7E73">
      <w:pPr>
        <w:ind w:firstLine="708"/>
        <w:jc w:val="both"/>
        <w:rPr>
          <w:color w:val="auto"/>
          <w:sz w:val="24"/>
          <w:szCs w:val="24"/>
          <w:lang w:bidi="ar-SA"/>
        </w:rPr>
      </w:pPr>
      <w:r>
        <w:rPr>
          <w:color w:val="auto"/>
          <w:sz w:val="24"/>
          <w:szCs w:val="24"/>
          <w:lang w:bidi="ar-SA"/>
        </w:rPr>
        <w:t xml:space="preserve">Due fabbriche tardo quattrocentesche, nel giardino dell’attuale Museo di Palazzo d’Arco, oggi separate ma nel Seicento unificate in una sola proprietà, portano il nome dei Gonzaga, del ramo di Feltrino e di Corrado; stemmi e iscrizioni che si leggono negli edifici menzionati raccontano la loro nobile origine. Al primo piano della prima palazzina si apre la spettacolare Sala dello Zodiaco, affrescata intorno al 1520 dall’architetto e pittore veronese </w:t>
      </w:r>
      <w:proofErr w:type="spellStart"/>
      <w:r>
        <w:rPr>
          <w:color w:val="auto"/>
          <w:sz w:val="24"/>
          <w:szCs w:val="24"/>
          <w:lang w:bidi="ar-SA"/>
        </w:rPr>
        <w:t>Giovan</w:t>
      </w:r>
      <w:proofErr w:type="spellEnd"/>
      <w:r>
        <w:rPr>
          <w:color w:val="auto"/>
          <w:sz w:val="24"/>
          <w:szCs w:val="24"/>
          <w:lang w:bidi="ar-SA"/>
        </w:rPr>
        <w:t xml:space="preserve"> Maria Falconetto, che qui consacrò uno dei cicli pittorici a tema astrologico più importanti dell’Italia del Cinquecento; nella sala, interamente dipinta, si snoda un programma pittorico di grande complessità a livello intellettuale e al contempo materiale, difficilmente comprensibile al di fuori di una committenza diversa da quella gonzaghesca. La cultura antiquaria di cui la sala è fortemente impregnata è la medesima che anima le altre due superbe commissioni, la Camera </w:t>
      </w:r>
      <w:proofErr w:type="spellStart"/>
      <w:r>
        <w:rPr>
          <w:color w:val="auto"/>
          <w:sz w:val="24"/>
          <w:szCs w:val="24"/>
          <w:lang w:bidi="ar-SA"/>
        </w:rPr>
        <w:t>Picta</w:t>
      </w:r>
      <w:proofErr w:type="spellEnd"/>
      <w:r>
        <w:rPr>
          <w:color w:val="auto"/>
          <w:sz w:val="24"/>
          <w:szCs w:val="24"/>
          <w:lang w:bidi="ar-SA"/>
        </w:rPr>
        <w:t xml:space="preserve"> e i Giganti. Proprio il 2020 conta i 500 anni dalla realizzazione degli affreschi, dunque la Fondazione d’Arco, proprietaria del complesso architettonico è lieta di celebrare l’anniversario con un grande progetto condiviso con il Museo di Palazzo Ducale e il Museo Civico di Palazzo Te.</w:t>
      </w:r>
    </w:p>
    <w:p w:rsidR="003A7E73" w:rsidRDefault="003A7E73" w:rsidP="003A7E73">
      <w:pPr>
        <w:ind w:firstLine="708"/>
        <w:jc w:val="both"/>
        <w:rPr>
          <w:color w:val="auto"/>
          <w:sz w:val="24"/>
          <w:szCs w:val="24"/>
          <w:lang w:bidi="ar-SA"/>
        </w:rPr>
      </w:pPr>
      <w:r>
        <w:rPr>
          <w:color w:val="auto"/>
          <w:sz w:val="24"/>
          <w:szCs w:val="24"/>
          <w:lang w:bidi="ar-SA"/>
        </w:rPr>
        <w:t xml:space="preserve">Si aggiunge che le proprietà di Alessandro Gonzaga, agli inizi del XVII secolo confinavano con l’attiguo Palazzo di Annibale </w:t>
      </w:r>
      <w:proofErr w:type="spellStart"/>
      <w:r>
        <w:rPr>
          <w:color w:val="auto"/>
          <w:sz w:val="24"/>
          <w:szCs w:val="24"/>
          <w:lang w:bidi="ar-SA"/>
        </w:rPr>
        <w:t>Chieppio</w:t>
      </w:r>
      <w:proofErr w:type="spellEnd"/>
      <w:r>
        <w:rPr>
          <w:color w:val="auto"/>
          <w:sz w:val="24"/>
          <w:szCs w:val="24"/>
          <w:lang w:bidi="ar-SA"/>
        </w:rPr>
        <w:t xml:space="preserve">, consigliere e segretario del duca Vincenzo I Gonzaga, che proprio dal suo principe aveva acquistato per mille scudi il “palazzo murato con il giardino” verso l’attuale piazza e la Chiesa di San Francesco. Annibale </w:t>
      </w:r>
      <w:proofErr w:type="spellStart"/>
      <w:r>
        <w:rPr>
          <w:color w:val="auto"/>
          <w:sz w:val="24"/>
          <w:szCs w:val="24"/>
          <w:lang w:bidi="ar-SA"/>
        </w:rPr>
        <w:t>Chieppio</w:t>
      </w:r>
      <w:proofErr w:type="spellEnd"/>
      <w:r>
        <w:rPr>
          <w:color w:val="auto"/>
          <w:sz w:val="24"/>
          <w:szCs w:val="24"/>
          <w:lang w:bidi="ar-SA"/>
        </w:rPr>
        <w:t xml:space="preserve"> non fu solo un ministro al servizio dei Gonzaga ma il fedele consigliere nel momento in cui la dinastia gonzaghesca raggiunse l’apice del suo splendore, sotto il ducato di Vincenzo I. Il </w:t>
      </w:r>
      <w:proofErr w:type="spellStart"/>
      <w:r>
        <w:rPr>
          <w:color w:val="auto"/>
          <w:sz w:val="24"/>
          <w:szCs w:val="24"/>
          <w:lang w:bidi="ar-SA"/>
        </w:rPr>
        <w:t>Chieppio</w:t>
      </w:r>
      <w:proofErr w:type="spellEnd"/>
      <w:r>
        <w:rPr>
          <w:color w:val="auto"/>
          <w:sz w:val="24"/>
          <w:szCs w:val="24"/>
          <w:lang w:bidi="ar-SA"/>
        </w:rPr>
        <w:t xml:space="preserve"> improntò il proprio Palazzo e le preziose collezioni, che ancora in parte sono conservate nel Museo a immagine del mecenatismo Gonzaga, certo non potendo godere dei superbi maestri che lavorarono per il duca ma assorbendone lo spirito e il gusto.</w:t>
      </w:r>
    </w:p>
    <w:p w:rsidR="003A7E73" w:rsidRDefault="003A7E73" w:rsidP="003A7E73">
      <w:pPr>
        <w:ind w:firstLine="708"/>
        <w:jc w:val="both"/>
        <w:rPr>
          <w:color w:val="auto"/>
          <w:sz w:val="24"/>
          <w:szCs w:val="24"/>
          <w:lang w:bidi="ar-SA"/>
        </w:rPr>
      </w:pPr>
      <w:r>
        <w:rPr>
          <w:color w:val="auto"/>
          <w:sz w:val="24"/>
          <w:szCs w:val="24"/>
          <w:lang w:bidi="ar-SA"/>
        </w:rPr>
        <w:t>Il complesso architettonico racconta dunque, dal Quattrocento al Seicento, due secoli di fulgida storia della corte Gonzaga.</w:t>
      </w:r>
    </w:p>
    <w:p w:rsidR="003A7E73" w:rsidRDefault="003A7E73" w:rsidP="003A7E73">
      <w:pPr>
        <w:jc w:val="both"/>
        <w:rPr>
          <w:color w:val="auto"/>
          <w:sz w:val="24"/>
          <w:szCs w:val="24"/>
          <w:lang w:bidi="ar-SA"/>
        </w:rPr>
      </w:pPr>
    </w:p>
    <w:p w:rsidR="003A7E73" w:rsidRDefault="003A7E73" w:rsidP="003A7E73">
      <w:pPr>
        <w:jc w:val="both"/>
        <w:rPr>
          <w:color w:val="auto"/>
          <w:sz w:val="24"/>
          <w:szCs w:val="24"/>
          <w:lang w:bidi="ar-SA"/>
        </w:rPr>
      </w:pPr>
      <w:r>
        <w:rPr>
          <w:color w:val="auto"/>
          <w:sz w:val="24"/>
          <w:szCs w:val="24"/>
          <w:lang w:bidi="ar-SA"/>
        </w:rPr>
        <w:t>Il Conservatore</w:t>
      </w:r>
    </w:p>
    <w:p w:rsidR="003A7E73" w:rsidRDefault="003A7E73" w:rsidP="003A7E73">
      <w:pPr>
        <w:jc w:val="both"/>
        <w:rPr>
          <w:color w:val="auto"/>
          <w:sz w:val="24"/>
          <w:szCs w:val="24"/>
          <w:lang w:bidi="ar-SA"/>
        </w:rPr>
      </w:pPr>
      <w:r>
        <w:rPr>
          <w:color w:val="auto"/>
          <w:sz w:val="24"/>
          <w:szCs w:val="24"/>
          <w:lang w:bidi="ar-SA"/>
        </w:rPr>
        <w:t xml:space="preserve">Italo </w:t>
      </w:r>
      <w:proofErr w:type="spellStart"/>
      <w:r>
        <w:rPr>
          <w:color w:val="auto"/>
          <w:sz w:val="24"/>
          <w:szCs w:val="24"/>
          <w:lang w:bidi="ar-SA"/>
        </w:rPr>
        <w:t>Scaietta</w:t>
      </w:r>
      <w:proofErr w:type="spellEnd"/>
    </w:p>
    <w:p w:rsidR="003A7E73" w:rsidRDefault="003A7E73" w:rsidP="003A7E73">
      <w:pPr>
        <w:jc w:val="both"/>
        <w:rPr>
          <w:color w:val="auto"/>
          <w:sz w:val="24"/>
          <w:szCs w:val="24"/>
          <w:lang w:bidi="ar-SA"/>
        </w:rPr>
      </w:pPr>
    </w:p>
    <w:p w:rsidR="00493208" w:rsidRDefault="00493208" w:rsidP="000854F5">
      <w:pPr>
        <w:jc w:val="both"/>
        <w:rPr>
          <w:b/>
          <w:color w:val="auto"/>
          <w:sz w:val="24"/>
          <w:szCs w:val="24"/>
          <w:lang w:bidi="ar-SA"/>
        </w:rPr>
      </w:pPr>
    </w:p>
    <w:p w:rsidR="003A7E73" w:rsidRPr="001E1DC7" w:rsidRDefault="001E1DC7" w:rsidP="001E1DC7">
      <w:pPr>
        <w:jc w:val="center"/>
        <w:rPr>
          <w:b/>
          <w:color w:val="auto"/>
          <w:sz w:val="24"/>
          <w:szCs w:val="24"/>
        </w:rPr>
      </w:pPr>
      <w:r>
        <w:rPr>
          <w:b/>
          <w:color w:val="auto"/>
          <w:sz w:val="24"/>
          <w:szCs w:val="24"/>
        </w:rPr>
        <w:t>La Sala dello Zodiaco</w:t>
      </w:r>
    </w:p>
    <w:p w:rsidR="001E1DC7" w:rsidRDefault="001E1DC7" w:rsidP="000854F5">
      <w:pPr>
        <w:jc w:val="both"/>
        <w:rPr>
          <w:color w:val="auto"/>
          <w:sz w:val="24"/>
          <w:szCs w:val="24"/>
        </w:rPr>
      </w:pPr>
    </w:p>
    <w:p w:rsidR="00F741DA" w:rsidRDefault="000F1FE1" w:rsidP="000854F5">
      <w:pPr>
        <w:jc w:val="both"/>
        <w:rPr>
          <w:color w:val="auto"/>
          <w:sz w:val="24"/>
          <w:szCs w:val="24"/>
        </w:rPr>
      </w:pPr>
      <w:r>
        <w:rPr>
          <w:color w:val="auto"/>
          <w:sz w:val="24"/>
          <w:szCs w:val="24"/>
        </w:rPr>
        <w:t>Lo</w:t>
      </w:r>
      <w:r w:rsidR="00A01854" w:rsidRPr="00A2740C">
        <w:rPr>
          <w:color w:val="auto"/>
          <w:sz w:val="24"/>
          <w:szCs w:val="24"/>
        </w:rPr>
        <w:t xml:space="preserve"> Zodiaco</w:t>
      </w:r>
      <w:r w:rsidR="000314AE">
        <w:rPr>
          <w:color w:val="auto"/>
          <w:sz w:val="24"/>
          <w:szCs w:val="24"/>
        </w:rPr>
        <w:t>,</w:t>
      </w:r>
      <w:r w:rsidR="00A01854" w:rsidRPr="00A2740C">
        <w:rPr>
          <w:color w:val="auto"/>
          <w:sz w:val="24"/>
          <w:szCs w:val="24"/>
        </w:rPr>
        <w:t xml:space="preserve"> </w:t>
      </w:r>
      <w:r w:rsidR="00A2740C">
        <w:rPr>
          <w:color w:val="auto"/>
          <w:sz w:val="24"/>
          <w:szCs w:val="24"/>
        </w:rPr>
        <w:t>attribuit</w:t>
      </w:r>
      <w:r>
        <w:rPr>
          <w:color w:val="auto"/>
          <w:sz w:val="24"/>
          <w:szCs w:val="24"/>
        </w:rPr>
        <w:t>o</w:t>
      </w:r>
      <w:r w:rsidR="00A2740C">
        <w:rPr>
          <w:color w:val="auto"/>
          <w:sz w:val="24"/>
          <w:szCs w:val="24"/>
        </w:rPr>
        <w:t xml:space="preserve"> a </w:t>
      </w:r>
      <w:proofErr w:type="spellStart"/>
      <w:r w:rsidR="00A2740C">
        <w:rPr>
          <w:color w:val="auto"/>
          <w:sz w:val="24"/>
          <w:szCs w:val="24"/>
        </w:rPr>
        <w:t>Giovan</w:t>
      </w:r>
      <w:proofErr w:type="spellEnd"/>
      <w:r w:rsidR="00A2740C">
        <w:rPr>
          <w:color w:val="auto"/>
          <w:sz w:val="24"/>
          <w:szCs w:val="24"/>
        </w:rPr>
        <w:t xml:space="preserve"> Maria Falconetto e </w:t>
      </w:r>
      <w:r w:rsidR="008B587D">
        <w:rPr>
          <w:color w:val="auto"/>
          <w:sz w:val="24"/>
          <w:szCs w:val="24"/>
        </w:rPr>
        <w:t>dipint</w:t>
      </w:r>
      <w:r>
        <w:rPr>
          <w:color w:val="auto"/>
          <w:sz w:val="24"/>
          <w:szCs w:val="24"/>
        </w:rPr>
        <w:t>o</w:t>
      </w:r>
      <w:r w:rsidR="008B587D">
        <w:rPr>
          <w:color w:val="auto"/>
          <w:sz w:val="24"/>
          <w:szCs w:val="24"/>
        </w:rPr>
        <w:t xml:space="preserve"> intorno al 1520</w:t>
      </w:r>
      <w:r w:rsidR="000314AE">
        <w:rPr>
          <w:color w:val="auto"/>
          <w:sz w:val="24"/>
          <w:szCs w:val="24"/>
        </w:rPr>
        <w:t>,</w:t>
      </w:r>
      <w:r w:rsidR="00A2740C">
        <w:rPr>
          <w:color w:val="auto"/>
          <w:sz w:val="24"/>
          <w:szCs w:val="24"/>
        </w:rPr>
        <w:t xml:space="preserve"> </w:t>
      </w:r>
      <w:r w:rsidR="00A01854" w:rsidRPr="00A2740C">
        <w:rPr>
          <w:color w:val="auto"/>
          <w:sz w:val="24"/>
          <w:szCs w:val="24"/>
        </w:rPr>
        <w:t>è</w:t>
      </w:r>
      <w:r w:rsidR="00A2740C">
        <w:rPr>
          <w:color w:val="auto"/>
          <w:sz w:val="24"/>
          <w:szCs w:val="24"/>
        </w:rPr>
        <w:t xml:space="preserve"> il vertice artistico del Museo di Palazzo d’Arco</w:t>
      </w:r>
      <w:r w:rsidR="00A01854" w:rsidRPr="00A2740C">
        <w:rPr>
          <w:color w:val="auto"/>
          <w:sz w:val="24"/>
          <w:szCs w:val="24"/>
        </w:rPr>
        <w:t xml:space="preserve"> </w:t>
      </w:r>
      <w:r w:rsidR="00A2740C">
        <w:rPr>
          <w:color w:val="auto"/>
          <w:sz w:val="24"/>
          <w:szCs w:val="24"/>
        </w:rPr>
        <w:t>e</w:t>
      </w:r>
      <w:r w:rsidR="000314AE">
        <w:rPr>
          <w:color w:val="auto"/>
          <w:sz w:val="24"/>
          <w:szCs w:val="24"/>
        </w:rPr>
        <w:t xml:space="preserve"> al contempo</w:t>
      </w:r>
      <w:r w:rsidR="00A2740C">
        <w:rPr>
          <w:color w:val="auto"/>
          <w:sz w:val="24"/>
          <w:szCs w:val="24"/>
        </w:rPr>
        <w:t xml:space="preserve"> </w:t>
      </w:r>
      <w:r w:rsidR="00A421B1">
        <w:rPr>
          <w:color w:val="auto"/>
          <w:sz w:val="24"/>
          <w:szCs w:val="24"/>
        </w:rPr>
        <w:t>un</w:t>
      </w:r>
      <w:r w:rsidR="00F741DA">
        <w:rPr>
          <w:color w:val="auto"/>
          <w:sz w:val="24"/>
          <w:szCs w:val="24"/>
        </w:rPr>
        <w:t xml:space="preserve">o dei cicli astrologici </w:t>
      </w:r>
      <w:r w:rsidR="008B587D">
        <w:rPr>
          <w:color w:val="auto"/>
          <w:sz w:val="24"/>
          <w:szCs w:val="24"/>
        </w:rPr>
        <w:t xml:space="preserve">più spettacolari </w:t>
      </w:r>
      <w:r w:rsidR="00887735">
        <w:rPr>
          <w:color w:val="auto"/>
          <w:sz w:val="24"/>
          <w:szCs w:val="24"/>
        </w:rPr>
        <w:t xml:space="preserve">per la rarissima e singolare </w:t>
      </w:r>
      <w:r w:rsidR="00F741DA">
        <w:rPr>
          <w:color w:val="auto"/>
          <w:sz w:val="24"/>
          <w:szCs w:val="24"/>
        </w:rPr>
        <w:t>iconografia.</w:t>
      </w:r>
      <w:r w:rsidR="000314AE">
        <w:rPr>
          <w:color w:val="auto"/>
          <w:sz w:val="24"/>
          <w:szCs w:val="24"/>
        </w:rPr>
        <w:t xml:space="preserve"> </w:t>
      </w:r>
    </w:p>
    <w:p w:rsidR="00172F3E" w:rsidRDefault="000F1FE1" w:rsidP="000854F5">
      <w:pPr>
        <w:jc w:val="both"/>
        <w:rPr>
          <w:color w:val="auto"/>
          <w:sz w:val="24"/>
          <w:szCs w:val="24"/>
        </w:rPr>
      </w:pPr>
      <w:r>
        <w:rPr>
          <w:color w:val="auto"/>
          <w:sz w:val="24"/>
          <w:szCs w:val="24"/>
        </w:rPr>
        <w:t>La sala, l</w:t>
      </w:r>
      <w:r w:rsidR="00887735">
        <w:rPr>
          <w:color w:val="auto"/>
          <w:sz w:val="24"/>
          <w:szCs w:val="24"/>
        </w:rPr>
        <w:t xml:space="preserve">unga quasi sedici </w:t>
      </w:r>
      <w:r w:rsidR="00DD1F49">
        <w:rPr>
          <w:color w:val="auto"/>
          <w:sz w:val="24"/>
          <w:szCs w:val="24"/>
        </w:rPr>
        <w:t>metri e alta sei metri e mezzo</w:t>
      </w:r>
      <w:r>
        <w:rPr>
          <w:color w:val="auto"/>
          <w:sz w:val="24"/>
          <w:szCs w:val="24"/>
        </w:rPr>
        <w:t>,</w:t>
      </w:r>
      <w:r w:rsidR="00DD1F49">
        <w:rPr>
          <w:color w:val="auto"/>
          <w:sz w:val="24"/>
          <w:szCs w:val="24"/>
        </w:rPr>
        <w:t xml:space="preserve"> </w:t>
      </w:r>
      <w:r w:rsidR="0069751A">
        <w:rPr>
          <w:color w:val="auto"/>
          <w:sz w:val="24"/>
          <w:szCs w:val="24"/>
        </w:rPr>
        <w:t xml:space="preserve">è interamente </w:t>
      </w:r>
      <w:r w:rsidR="00A53310">
        <w:rPr>
          <w:color w:val="auto"/>
          <w:sz w:val="24"/>
          <w:szCs w:val="24"/>
        </w:rPr>
        <w:t>affrescata</w:t>
      </w:r>
      <w:r w:rsidR="00887735">
        <w:rPr>
          <w:color w:val="auto"/>
          <w:sz w:val="24"/>
          <w:szCs w:val="24"/>
        </w:rPr>
        <w:t>:</w:t>
      </w:r>
      <w:r w:rsidR="000314AE">
        <w:rPr>
          <w:color w:val="auto"/>
          <w:sz w:val="24"/>
          <w:szCs w:val="24"/>
        </w:rPr>
        <w:t xml:space="preserve"> </w:t>
      </w:r>
      <w:r w:rsidR="00C35B76">
        <w:rPr>
          <w:color w:val="auto"/>
          <w:sz w:val="24"/>
          <w:szCs w:val="24"/>
        </w:rPr>
        <w:t>finte architetture</w:t>
      </w:r>
      <w:r w:rsidR="000314AE">
        <w:rPr>
          <w:color w:val="auto"/>
          <w:sz w:val="24"/>
          <w:szCs w:val="24"/>
        </w:rPr>
        <w:t xml:space="preserve"> ad arcate, </w:t>
      </w:r>
      <w:r w:rsidR="00887735">
        <w:rPr>
          <w:color w:val="auto"/>
          <w:sz w:val="24"/>
          <w:szCs w:val="24"/>
        </w:rPr>
        <w:t xml:space="preserve">rese </w:t>
      </w:r>
      <w:r w:rsidR="000314AE">
        <w:rPr>
          <w:color w:val="auto"/>
          <w:sz w:val="24"/>
          <w:szCs w:val="24"/>
        </w:rPr>
        <w:t>prospet</w:t>
      </w:r>
      <w:r w:rsidR="00887735">
        <w:rPr>
          <w:color w:val="auto"/>
          <w:sz w:val="24"/>
          <w:szCs w:val="24"/>
        </w:rPr>
        <w:t xml:space="preserve">ticamente </w:t>
      </w:r>
      <w:r w:rsidR="00A67362">
        <w:rPr>
          <w:color w:val="auto"/>
          <w:sz w:val="24"/>
          <w:szCs w:val="24"/>
        </w:rPr>
        <w:t>secondo un punto</w:t>
      </w:r>
      <w:r w:rsidR="000314AE">
        <w:rPr>
          <w:color w:val="auto"/>
          <w:sz w:val="24"/>
          <w:szCs w:val="24"/>
        </w:rPr>
        <w:t xml:space="preserve"> di vista centrale,</w:t>
      </w:r>
      <w:r w:rsidR="00887735">
        <w:rPr>
          <w:color w:val="auto"/>
          <w:sz w:val="24"/>
          <w:szCs w:val="24"/>
        </w:rPr>
        <w:t xml:space="preserve"> sono</w:t>
      </w:r>
      <w:r w:rsidR="000314AE">
        <w:rPr>
          <w:color w:val="auto"/>
          <w:sz w:val="24"/>
          <w:szCs w:val="24"/>
        </w:rPr>
        <w:t xml:space="preserve"> scandite tra loro da pilastri </w:t>
      </w:r>
      <w:r w:rsidR="00C35B76">
        <w:rPr>
          <w:color w:val="auto"/>
          <w:sz w:val="24"/>
          <w:szCs w:val="24"/>
        </w:rPr>
        <w:t xml:space="preserve">ornati con </w:t>
      </w:r>
      <w:r w:rsidR="003A7E73">
        <w:rPr>
          <w:color w:val="auto"/>
          <w:sz w:val="24"/>
          <w:szCs w:val="24"/>
        </w:rPr>
        <w:t>motivi a grottesche; s</w:t>
      </w:r>
      <w:r w:rsidR="008C6EF9">
        <w:rPr>
          <w:color w:val="auto"/>
          <w:sz w:val="24"/>
          <w:szCs w:val="24"/>
        </w:rPr>
        <w:t xml:space="preserve">otto ogni arcata si alternano rilievi classici dipinti a </w:t>
      </w:r>
      <w:r w:rsidR="008C6EF9" w:rsidRPr="008C6EF9">
        <w:rPr>
          <w:i/>
          <w:color w:val="auto"/>
          <w:sz w:val="24"/>
          <w:szCs w:val="24"/>
        </w:rPr>
        <w:t>grisaille</w:t>
      </w:r>
      <w:r w:rsidR="008C6EF9">
        <w:rPr>
          <w:color w:val="auto"/>
          <w:sz w:val="24"/>
          <w:szCs w:val="24"/>
        </w:rPr>
        <w:t xml:space="preserve"> a simulare una balaustra al di là della quale si vedono le scene astrologiche. </w:t>
      </w:r>
      <w:r w:rsidR="00172F3E">
        <w:rPr>
          <w:color w:val="auto"/>
          <w:sz w:val="24"/>
          <w:szCs w:val="24"/>
        </w:rPr>
        <w:t>Nelle aperture dell</w:t>
      </w:r>
      <w:r w:rsidR="00C35B76">
        <w:rPr>
          <w:color w:val="auto"/>
          <w:sz w:val="24"/>
          <w:szCs w:val="24"/>
        </w:rPr>
        <w:t>e</w:t>
      </w:r>
      <w:r w:rsidR="00172F3E">
        <w:rPr>
          <w:color w:val="auto"/>
          <w:sz w:val="24"/>
          <w:szCs w:val="24"/>
        </w:rPr>
        <w:t xml:space="preserve"> architettur</w:t>
      </w:r>
      <w:r w:rsidR="00C35B76">
        <w:rPr>
          <w:color w:val="auto"/>
          <w:sz w:val="24"/>
          <w:szCs w:val="24"/>
        </w:rPr>
        <w:t>e</w:t>
      </w:r>
      <w:r w:rsidR="00172F3E">
        <w:rPr>
          <w:color w:val="auto"/>
          <w:sz w:val="24"/>
          <w:szCs w:val="24"/>
        </w:rPr>
        <w:t xml:space="preserve"> si trovano i dodici segni zodiacali, </w:t>
      </w:r>
      <w:r w:rsidR="003A7E73">
        <w:rPr>
          <w:color w:val="auto"/>
          <w:sz w:val="24"/>
          <w:szCs w:val="24"/>
        </w:rPr>
        <w:t xml:space="preserve">accompagnati </w:t>
      </w:r>
      <w:r w:rsidR="00172F3E">
        <w:rPr>
          <w:color w:val="auto"/>
          <w:sz w:val="24"/>
          <w:szCs w:val="24"/>
        </w:rPr>
        <w:t xml:space="preserve">dai miti antichi delle costellazioni </w:t>
      </w:r>
      <w:r w:rsidR="003A7E73">
        <w:rPr>
          <w:color w:val="auto"/>
          <w:sz w:val="24"/>
          <w:szCs w:val="24"/>
        </w:rPr>
        <w:t>e</w:t>
      </w:r>
      <w:r w:rsidR="00172F3E">
        <w:rPr>
          <w:color w:val="auto"/>
          <w:sz w:val="24"/>
          <w:szCs w:val="24"/>
        </w:rPr>
        <w:t xml:space="preserve"> da</w:t>
      </w:r>
      <w:r w:rsidR="00E53387">
        <w:rPr>
          <w:color w:val="auto"/>
          <w:sz w:val="24"/>
          <w:szCs w:val="24"/>
        </w:rPr>
        <w:t>i</w:t>
      </w:r>
      <w:r w:rsidR="00172F3E">
        <w:rPr>
          <w:color w:val="auto"/>
          <w:sz w:val="24"/>
          <w:szCs w:val="24"/>
        </w:rPr>
        <w:t xml:space="preserve"> </w:t>
      </w:r>
      <w:r w:rsidR="00E53387">
        <w:rPr>
          <w:color w:val="auto"/>
          <w:sz w:val="24"/>
          <w:szCs w:val="24"/>
        </w:rPr>
        <w:t>mestieri legati ai mesi</w:t>
      </w:r>
      <w:r w:rsidR="00172F3E">
        <w:rPr>
          <w:color w:val="auto"/>
          <w:sz w:val="24"/>
          <w:szCs w:val="24"/>
        </w:rPr>
        <w:t>.</w:t>
      </w:r>
      <w:r w:rsidR="00945949">
        <w:rPr>
          <w:color w:val="auto"/>
          <w:sz w:val="24"/>
          <w:szCs w:val="24"/>
        </w:rPr>
        <w:t xml:space="preserve"> Si aggiungono infine in primo piano o sullo sfondo alcuni monumenti antichi, uno o più per ciascun segno.</w:t>
      </w:r>
    </w:p>
    <w:p w:rsidR="00C35B76" w:rsidRDefault="008C6EF9" w:rsidP="000854F5">
      <w:pPr>
        <w:jc w:val="both"/>
        <w:rPr>
          <w:color w:val="auto"/>
          <w:sz w:val="24"/>
          <w:szCs w:val="24"/>
        </w:rPr>
      </w:pPr>
      <w:r>
        <w:rPr>
          <w:color w:val="auto"/>
          <w:sz w:val="24"/>
          <w:szCs w:val="24"/>
        </w:rPr>
        <w:t xml:space="preserve">A coronamento delle architetture </w:t>
      </w:r>
      <w:r w:rsidR="000314AE">
        <w:rPr>
          <w:color w:val="auto"/>
          <w:sz w:val="24"/>
          <w:szCs w:val="24"/>
        </w:rPr>
        <w:t xml:space="preserve">corre un fregio con sfondo a </w:t>
      </w:r>
      <w:proofErr w:type="spellStart"/>
      <w:r w:rsidR="000314AE">
        <w:rPr>
          <w:color w:val="auto"/>
          <w:sz w:val="24"/>
          <w:szCs w:val="24"/>
        </w:rPr>
        <w:t>borchiature</w:t>
      </w:r>
      <w:proofErr w:type="spellEnd"/>
      <w:r w:rsidR="000314AE">
        <w:rPr>
          <w:color w:val="auto"/>
          <w:sz w:val="24"/>
          <w:szCs w:val="24"/>
        </w:rPr>
        <w:t xml:space="preserve"> dorate</w:t>
      </w:r>
      <w:r w:rsidR="00CE6C2C">
        <w:rPr>
          <w:color w:val="auto"/>
          <w:sz w:val="24"/>
          <w:szCs w:val="24"/>
        </w:rPr>
        <w:t>,</w:t>
      </w:r>
      <w:r w:rsidR="000314AE">
        <w:rPr>
          <w:color w:val="auto"/>
          <w:sz w:val="24"/>
          <w:szCs w:val="24"/>
        </w:rPr>
        <w:t xml:space="preserve"> </w:t>
      </w:r>
      <w:r w:rsidR="00E53387">
        <w:rPr>
          <w:color w:val="auto"/>
          <w:sz w:val="24"/>
          <w:szCs w:val="24"/>
        </w:rPr>
        <w:t xml:space="preserve">popolato da variopinte </w:t>
      </w:r>
      <w:r w:rsidR="000314AE">
        <w:rPr>
          <w:color w:val="auto"/>
          <w:sz w:val="24"/>
          <w:szCs w:val="24"/>
        </w:rPr>
        <w:t xml:space="preserve">figure fantastiche </w:t>
      </w:r>
      <w:r w:rsidR="00E53387">
        <w:rPr>
          <w:color w:val="auto"/>
          <w:sz w:val="24"/>
          <w:szCs w:val="24"/>
        </w:rPr>
        <w:t>e</w:t>
      </w:r>
      <w:r w:rsidR="000314AE">
        <w:rPr>
          <w:color w:val="auto"/>
          <w:sz w:val="24"/>
          <w:szCs w:val="24"/>
        </w:rPr>
        <w:t xml:space="preserve"> scene mitologiche desunte </w:t>
      </w:r>
      <w:r w:rsidR="00E53387">
        <w:rPr>
          <w:color w:val="auto"/>
          <w:sz w:val="24"/>
          <w:szCs w:val="24"/>
        </w:rPr>
        <w:t>dalle “Metamorfosi” di Ovidio.</w:t>
      </w:r>
    </w:p>
    <w:p w:rsidR="004757DB" w:rsidRDefault="004757DB" w:rsidP="000854F5">
      <w:pPr>
        <w:jc w:val="both"/>
        <w:rPr>
          <w:color w:val="auto"/>
          <w:sz w:val="24"/>
          <w:szCs w:val="24"/>
        </w:rPr>
      </w:pPr>
      <w:r>
        <w:rPr>
          <w:color w:val="auto"/>
          <w:sz w:val="24"/>
          <w:szCs w:val="24"/>
        </w:rPr>
        <w:t>Il ciclo di affreschi è frutto della fusione di due tematiche protagoniste della cultura mantovana</w:t>
      </w:r>
      <w:r w:rsidR="00B16501">
        <w:rPr>
          <w:color w:val="auto"/>
          <w:sz w:val="24"/>
          <w:szCs w:val="24"/>
        </w:rPr>
        <w:t xml:space="preserve"> </w:t>
      </w:r>
      <w:r>
        <w:rPr>
          <w:color w:val="auto"/>
          <w:sz w:val="24"/>
          <w:szCs w:val="24"/>
        </w:rPr>
        <w:t xml:space="preserve">di quegli anni: l’astrologia e </w:t>
      </w:r>
      <w:r w:rsidR="00252D74">
        <w:rPr>
          <w:color w:val="auto"/>
          <w:sz w:val="24"/>
          <w:szCs w:val="24"/>
        </w:rPr>
        <w:t xml:space="preserve">la cultura antiquaria, intesa </w:t>
      </w:r>
      <w:r>
        <w:rPr>
          <w:color w:val="auto"/>
          <w:sz w:val="24"/>
          <w:szCs w:val="24"/>
        </w:rPr>
        <w:t xml:space="preserve">come collezionismo di pezzi antichi e come continuo </w:t>
      </w:r>
      <w:r w:rsidR="00B16501">
        <w:rPr>
          <w:color w:val="auto"/>
          <w:sz w:val="24"/>
          <w:szCs w:val="24"/>
        </w:rPr>
        <w:t>riferimento ai testi classici, individuata non solo come referente formale ma civile e morale.</w:t>
      </w:r>
    </w:p>
    <w:p w:rsidR="00A3142A" w:rsidRDefault="00B16501" w:rsidP="000854F5">
      <w:pPr>
        <w:jc w:val="both"/>
        <w:rPr>
          <w:color w:val="auto"/>
          <w:sz w:val="24"/>
          <w:szCs w:val="24"/>
          <w:lang w:bidi="ar-SA"/>
        </w:rPr>
      </w:pPr>
      <w:r>
        <w:rPr>
          <w:color w:val="auto"/>
          <w:sz w:val="24"/>
          <w:szCs w:val="24"/>
        </w:rPr>
        <w:t xml:space="preserve">Falconetto per il suo programma pittorico guardò con interesse al ciclo del Pinturicchio nel palazzo di Domenico della Rovere a Roma, </w:t>
      </w:r>
      <w:r w:rsidR="00D74EA8" w:rsidRPr="00A2740C">
        <w:rPr>
          <w:color w:val="auto"/>
          <w:sz w:val="24"/>
          <w:szCs w:val="24"/>
        </w:rPr>
        <w:t xml:space="preserve">la cui </w:t>
      </w:r>
      <w:r>
        <w:rPr>
          <w:color w:val="auto"/>
          <w:sz w:val="24"/>
          <w:szCs w:val="24"/>
        </w:rPr>
        <w:t xml:space="preserve">fonte letteraria </w:t>
      </w:r>
      <w:r w:rsidR="00D74EA8" w:rsidRPr="00A2740C">
        <w:rPr>
          <w:color w:val="auto"/>
          <w:sz w:val="24"/>
          <w:szCs w:val="24"/>
        </w:rPr>
        <w:t xml:space="preserve">fu il romanzo bizantino del XII sec. </w:t>
      </w:r>
      <w:proofErr w:type="gramStart"/>
      <w:r w:rsidR="00D74EA8" w:rsidRPr="00A2740C">
        <w:rPr>
          <w:color w:val="auto"/>
          <w:sz w:val="24"/>
          <w:szCs w:val="24"/>
        </w:rPr>
        <w:t>di</w:t>
      </w:r>
      <w:proofErr w:type="gramEnd"/>
      <w:r w:rsidR="00D74EA8" w:rsidRPr="00A2740C">
        <w:rPr>
          <w:color w:val="auto"/>
          <w:sz w:val="24"/>
          <w:szCs w:val="24"/>
        </w:rPr>
        <w:t xml:space="preserve"> </w:t>
      </w:r>
      <w:proofErr w:type="spellStart"/>
      <w:r w:rsidR="00D74EA8" w:rsidRPr="00A2740C">
        <w:rPr>
          <w:color w:val="auto"/>
          <w:sz w:val="24"/>
          <w:szCs w:val="24"/>
        </w:rPr>
        <w:t>Eustathios</w:t>
      </w:r>
      <w:proofErr w:type="spellEnd"/>
      <w:r w:rsidR="00D74EA8" w:rsidRPr="00A2740C">
        <w:rPr>
          <w:color w:val="auto"/>
          <w:sz w:val="24"/>
          <w:szCs w:val="24"/>
        </w:rPr>
        <w:t xml:space="preserve"> </w:t>
      </w:r>
      <w:proofErr w:type="spellStart"/>
      <w:r w:rsidR="00D74EA8" w:rsidRPr="00A2740C">
        <w:rPr>
          <w:color w:val="auto"/>
          <w:sz w:val="24"/>
          <w:szCs w:val="24"/>
        </w:rPr>
        <w:t>Makrembolites</w:t>
      </w:r>
      <w:proofErr w:type="spellEnd"/>
      <w:r w:rsidR="00D74EA8" w:rsidRPr="00A2740C">
        <w:rPr>
          <w:color w:val="auto"/>
          <w:sz w:val="24"/>
          <w:szCs w:val="24"/>
        </w:rPr>
        <w:t>,</w:t>
      </w:r>
      <w:r>
        <w:rPr>
          <w:color w:val="auto"/>
          <w:sz w:val="24"/>
          <w:szCs w:val="24"/>
        </w:rPr>
        <w:t xml:space="preserve"> intitolato</w:t>
      </w:r>
      <w:r w:rsidR="00D74EA8" w:rsidRPr="00A2740C">
        <w:rPr>
          <w:color w:val="auto"/>
          <w:sz w:val="24"/>
          <w:szCs w:val="24"/>
        </w:rPr>
        <w:t xml:space="preserve"> “</w:t>
      </w:r>
      <w:proofErr w:type="spellStart"/>
      <w:r w:rsidR="00D74EA8" w:rsidRPr="00A2740C">
        <w:rPr>
          <w:color w:val="auto"/>
          <w:sz w:val="24"/>
          <w:szCs w:val="24"/>
        </w:rPr>
        <w:t>Ismine</w:t>
      </w:r>
      <w:proofErr w:type="spellEnd"/>
      <w:r w:rsidR="00D74EA8" w:rsidRPr="00A2740C">
        <w:rPr>
          <w:color w:val="auto"/>
          <w:sz w:val="24"/>
          <w:szCs w:val="24"/>
        </w:rPr>
        <w:t xml:space="preserve"> e </w:t>
      </w:r>
      <w:proofErr w:type="spellStart"/>
      <w:r w:rsidR="00D74EA8" w:rsidRPr="00A2740C">
        <w:rPr>
          <w:color w:val="auto"/>
          <w:sz w:val="24"/>
          <w:szCs w:val="24"/>
        </w:rPr>
        <w:t>Isminia</w:t>
      </w:r>
      <w:proofErr w:type="spellEnd"/>
      <w:r w:rsidR="00D74EA8" w:rsidRPr="00A2740C">
        <w:rPr>
          <w:color w:val="auto"/>
          <w:sz w:val="24"/>
          <w:szCs w:val="24"/>
        </w:rPr>
        <w:t>".</w:t>
      </w:r>
      <w:r w:rsidR="00493208">
        <w:rPr>
          <w:color w:val="auto"/>
          <w:sz w:val="24"/>
          <w:szCs w:val="24"/>
          <w:lang w:bidi="ar-SA"/>
        </w:rPr>
        <w:t xml:space="preserve"> </w:t>
      </w:r>
      <w:r>
        <w:rPr>
          <w:color w:val="auto"/>
          <w:sz w:val="24"/>
          <w:szCs w:val="24"/>
        </w:rPr>
        <w:t xml:space="preserve">Mentre tuttavia Pinturicchio si limitò a riprendere dei dettagli architettonici e decorativi dall’antichità, il Falconetto su di essa basò tutta la concezione figurata e decorativa del ciclo. Fu proprio la sua curiosità </w:t>
      </w:r>
      <w:r w:rsidR="006D45B6">
        <w:rPr>
          <w:color w:val="auto"/>
          <w:sz w:val="24"/>
          <w:szCs w:val="24"/>
        </w:rPr>
        <w:t xml:space="preserve">archeologica </w:t>
      </w:r>
      <w:r>
        <w:rPr>
          <w:color w:val="auto"/>
          <w:sz w:val="24"/>
          <w:szCs w:val="24"/>
        </w:rPr>
        <w:t xml:space="preserve">che convinse </w:t>
      </w:r>
      <w:r w:rsidR="00394C8A">
        <w:rPr>
          <w:color w:val="auto"/>
          <w:sz w:val="24"/>
          <w:szCs w:val="24"/>
        </w:rPr>
        <w:t xml:space="preserve">Giuseppe </w:t>
      </w:r>
      <w:r>
        <w:rPr>
          <w:color w:val="auto"/>
          <w:sz w:val="24"/>
          <w:szCs w:val="24"/>
        </w:rPr>
        <w:t xml:space="preserve">Fiocco </w:t>
      </w:r>
      <w:r w:rsidR="00394C8A">
        <w:rPr>
          <w:color w:val="auto"/>
          <w:sz w:val="24"/>
          <w:szCs w:val="24"/>
        </w:rPr>
        <w:t xml:space="preserve">nel 1931 </w:t>
      </w:r>
      <w:r>
        <w:rPr>
          <w:color w:val="auto"/>
          <w:sz w:val="24"/>
          <w:szCs w:val="24"/>
        </w:rPr>
        <w:t>ad attribuire al veronese il ciclo mantovano</w:t>
      </w:r>
      <w:r w:rsidR="00C16742">
        <w:rPr>
          <w:color w:val="auto"/>
          <w:sz w:val="24"/>
          <w:szCs w:val="24"/>
        </w:rPr>
        <w:t xml:space="preserve">, attribuzione oggi universalmente condivisa. </w:t>
      </w:r>
      <w:r w:rsidR="00394C8A">
        <w:rPr>
          <w:color w:val="auto"/>
          <w:sz w:val="24"/>
          <w:szCs w:val="24"/>
        </w:rPr>
        <w:t xml:space="preserve">Proprio </w:t>
      </w:r>
      <w:proofErr w:type="gramStart"/>
      <w:r w:rsidR="00394C8A">
        <w:rPr>
          <w:color w:val="auto"/>
          <w:sz w:val="24"/>
          <w:szCs w:val="24"/>
        </w:rPr>
        <w:t>questa</w:t>
      </w:r>
      <w:r w:rsidR="00CE6C2C">
        <w:rPr>
          <w:color w:val="auto"/>
          <w:sz w:val="24"/>
          <w:szCs w:val="24"/>
        </w:rPr>
        <w:t xml:space="preserve"> </w:t>
      </w:r>
      <w:r w:rsidR="00394C8A">
        <w:rPr>
          <w:color w:val="auto"/>
          <w:sz w:val="24"/>
          <w:szCs w:val="24"/>
        </w:rPr>
        <w:t>”idolatria</w:t>
      </w:r>
      <w:proofErr w:type="gramEnd"/>
      <w:r w:rsidR="00394C8A">
        <w:rPr>
          <w:color w:val="auto"/>
          <w:sz w:val="24"/>
          <w:szCs w:val="24"/>
        </w:rPr>
        <w:t xml:space="preserve"> del passato”, che si manifesta nell’abbondanza di figure e di monumenti antichi, di sarcofagi finti e di medaglioni, rivela il rapporto individuale del pittore verso l’antichità ma anche quello del committente,</w:t>
      </w:r>
      <w:r w:rsidR="00493208" w:rsidRPr="00493208">
        <w:rPr>
          <w:color w:val="auto"/>
          <w:sz w:val="24"/>
          <w:szCs w:val="24"/>
        </w:rPr>
        <w:t xml:space="preserve"> </w:t>
      </w:r>
      <w:r w:rsidR="00493208">
        <w:rPr>
          <w:color w:val="auto"/>
          <w:sz w:val="24"/>
          <w:szCs w:val="24"/>
        </w:rPr>
        <w:t xml:space="preserve">di certo colto e raffinato, all’inizio del Cinquecento a Mantova. Quest’ultimo forse è da riconoscere nel </w:t>
      </w:r>
      <w:r w:rsidR="00493208" w:rsidRPr="00A2740C">
        <w:rPr>
          <w:color w:val="auto"/>
          <w:sz w:val="24"/>
          <w:szCs w:val="24"/>
        </w:rPr>
        <w:t xml:space="preserve">misterioso personaggio in abito </w:t>
      </w:r>
      <w:r w:rsidR="00493208">
        <w:rPr>
          <w:color w:val="auto"/>
          <w:sz w:val="24"/>
          <w:szCs w:val="24"/>
        </w:rPr>
        <w:t xml:space="preserve">e copricapo </w:t>
      </w:r>
      <w:r w:rsidR="00493208" w:rsidRPr="00A2740C">
        <w:rPr>
          <w:color w:val="auto"/>
          <w:sz w:val="24"/>
          <w:szCs w:val="24"/>
        </w:rPr>
        <w:t>ne</w:t>
      </w:r>
      <w:r w:rsidR="00493208">
        <w:rPr>
          <w:color w:val="auto"/>
          <w:sz w:val="24"/>
          <w:szCs w:val="24"/>
        </w:rPr>
        <w:t>ri,</w:t>
      </w:r>
      <w:r w:rsidR="00493208" w:rsidRPr="00A2740C">
        <w:rPr>
          <w:color w:val="auto"/>
          <w:sz w:val="24"/>
          <w:szCs w:val="24"/>
        </w:rPr>
        <w:t xml:space="preserve"> con tre chiavi strette nella mano sinistra, </w:t>
      </w:r>
      <w:r w:rsidR="00493208">
        <w:rPr>
          <w:color w:val="auto"/>
          <w:sz w:val="24"/>
          <w:szCs w:val="24"/>
        </w:rPr>
        <w:t xml:space="preserve">ritratto nel </w:t>
      </w:r>
      <w:r w:rsidR="00493208" w:rsidRPr="00A2740C">
        <w:rPr>
          <w:color w:val="auto"/>
          <w:sz w:val="24"/>
          <w:szCs w:val="24"/>
        </w:rPr>
        <w:t>segno del Cancro</w:t>
      </w:r>
      <w:r w:rsidR="00394C8A">
        <w:rPr>
          <w:color w:val="auto"/>
          <w:sz w:val="24"/>
          <w:szCs w:val="24"/>
        </w:rPr>
        <w:t>.</w:t>
      </w:r>
      <w:r w:rsidR="00493208">
        <w:rPr>
          <w:color w:val="auto"/>
          <w:sz w:val="24"/>
          <w:szCs w:val="24"/>
        </w:rPr>
        <w:t xml:space="preserve"> Scrive così il V</w:t>
      </w:r>
      <w:r w:rsidR="00394C8A">
        <w:rPr>
          <w:color w:val="auto"/>
          <w:sz w:val="24"/>
          <w:szCs w:val="24"/>
        </w:rPr>
        <w:t xml:space="preserve">asari nella </w:t>
      </w:r>
      <w:r w:rsidR="00887735">
        <w:rPr>
          <w:color w:val="auto"/>
          <w:sz w:val="24"/>
          <w:szCs w:val="24"/>
        </w:rPr>
        <w:t>v</w:t>
      </w:r>
      <w:r w:rsidR="00394C8A">
        <w:rPr>
          <w:color w:val="auto"/>
          <w:sz w:val="24"/>
          <w:szCs w:val="24"/>
        </w:rPr>
        <w:t xml:space="preserve">ita del pittore ed architetto </w:t>
      </w:r>
      <w:proofErr w:type="spellStart"/>
      <w:r w:rsidR="00394C8A">
        <w:rPr>
          <w:color w:val="auto"/>
          <w:sz w:val="24"/>
          <w:szCs w:val="24"/>
        </w:rPr>
        <w:t>Giovan</w:t>
      </w:r>
      <w:proofErr w:type="spellEnd"/>
      <w:r w:rsidR="00394C8A">
        <w:rPr>
          <w:color w:val="auto"/>
          <w:sz w:val="24"/>
          <w:szCs w:val="24"/>
        </w:rPr>
        <w:t xml:space="preserve"> Maria Falconetto “lavorava a Mantova al S</w:t>
      </w:r>
      <w:r w:rsidR="000D091C">
        <w:rPr>
          <w:color w:val="auto"/>
          <w:sz w:val="24"/>
          <w:szCs w:val="24"/>
        </w:rPr>
        <w:t>ignor Luigi Gonzaga cose assai”.</w:t>
      </w:r>
    </w:p>
    <w:p w:rsidR="00A3142A" w:rsidRDefault="00A3142A" w:rsidP="000854F5">
      <w:pPr>
        <w:jc w:val="both"/>
        <w:rPr>
          <w:color w:val="auto"/>
          <w:sz w:val="24"/>
          <w:szCs w:val="24"/>
          <w:lang w:bidi="ar-SA"/>
        </w:rPr>
      </w:pPr>
    </w:p>
    <w:p w:rsidR="008D4B8E" w:rsidRDefault="008D4B8E" w:rsidP="009E3416">
      <w:pPr>
        <w:jc w:val="both"/>
        <w:rPr>
          <w:color w:val="auto"/>
          <w:sz w:val="24"/>
          <w:szCs w:val="24"/>
          <w:lang w:bidi="ar-SA"/>
        </w:rPr>
      </w:pPr>
      <w:bookmarkStart w:id="0" w:name="_GoBack"/>
      <w:bookmarkEnd w:id="0"/>
    </w:p>
    <w:sectPr w:rsidR="008D4B8E" w:rsidSect="00614780">
      <w:headerReference w:type="default" r:id="rId8"/>
      <w:footerReference w:type="default" r:id="rId9"/>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1CE4" w:rsidRDefault="00631CE4" w:rsidP="006167AF">
      <w:r>
        <w:separator/>
      </w:r>
    </w:p>
  </w:endnote>
  <w:endnote w:type="continuationSeparator" w:id="0">
    <w:p w:rsidR="00631CE4" w:rsidRDefault="00631CE4" w:rsidP="00616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PMingLiU">
    <w:altName w:val="新細明體"/>
    <w:panose1 w:val="02020500000000000000"/>
    <w:charset w:val="88"/>
    <w:family w:val="auto"/>
    <w:notTrueType/>
    <w:pitch w:val="variable"/>
    <w:sig w:usb0="00000001" w:usb1="08080000" w:usb2="00000010" w:usb3="00000000" w:csb0="001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F1719" w:rsidRDefault="006167AF" w:rsidP="006167AF">
    <w:pPr>
      <w:pStyle w:val="Pidipagina"/>
      <w:rPr>
        <w:rFonts w:ascii="Bookman Old Style" w:hAnsi="Bookman Old Style"/>
        <w:sz w:val="20"/>
        <w:szCs w:val="20"/>
      </w:rPr>
    </w:pPr>
    <w:r w:rsidRPr="00691E6B">
      <w:rPr>
        <w:rFonts w:ascii="Bookman Old Style" w:hAnsi="Bookman Old Style"/>
        <w:sz w:val="20"/>
        <w:szCs w:val="20"/>
      </w:rPr>
      <w:ptab w:relativeTo="margin" w:alignment="center" w:leader="none"/>
    </w:r>
  </w:p>
  <w:p w:rsidR="000F1719" w:rsidRDefault="000F1719" w:rsidP="000F1719">
    <w:pPr>
      <w:pStyle w:val="Pidipagina"/>
      <w:jc w:val="center"/>
      <w:rPr>
        <w:rFonts w:ascii="Bookman Old Style" w:hAnsi="Bookman Old Style"/>
        <w:sz w:val="20"/>
        <w:szCs w:val="20"/>
      </w:rPr>
    </w:pPr>
    <w:r>
      <w:rPr>
        <w:rFonts w:ascii="Bookman Old Style" w:hAnsi="Bookman Old Style"/>
        <w:noProof/>
        <w:sz w:val="20"/>
        <w:szCs w:val="20"/>
        <w:lang w:eastAsia="it-IT"/>
      </w:rPr>
      <w:drawing>
        <wp:inline distT="0" distB="0" distL="0" distR="0" wp14:anchorId="1F07D8BB" wp14:editId="0B1247AB">
          <wp:extent cx="3200400" cy="464984"/>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Logo Museo dArco-3.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9602" cy="472133"/>
                  </a:xfrm>
                  <a:prstGeom prst="rect">
                    <a:avLst/>
                  </a:prstGeom>
                </pic:spPr>
              </pic:pic>
            </a:graphicData>
          </a:graphic>
        </wp:inline>
      </w:drawing>
    </w:r>
  </w:p>
  <w:p w:rsidR="006167AF" w:rsidRDefault="006167AF" w:rsidP="000F1719">
    <w:pPr>
      <w:pStyle w:val="Pidipagina"/>
      <w:jc w:val="center"/>
      <w:rPr>
        <w:rFonts w:ascii="Bookman Old Style" w:hAnsi="Bookman Old Style"/>
        <w:sz w:val="20"/>
        <w:szCs w:val="20"/>
      </w:rPr>
    </w:pPr>
    <w:r w:rsidRPr="00691E6B">
      <w:rPr>
        <w:rFonts w:ascii="Bookman Old Style" w:hAnsi="Bookman Old Style"/>
        <w:sz w:val="20"/>
        <w:szCs w:val="20"/>
      </w:rPr>
      <w:t>Piazza C. d’Arco, 4 - 46100 Mantova</w:t>
    </w:r>
  </w:p>
  <w:p w:rsidR="006167AF" w:rsidRDefault="006167AF" w:rsidP="006167AF">
    <w:pPr>
      <w:pStyle w:val="Pidipagina"/>
      <w:jc w:val="center"/>
      <w:rPr>
        <w:rFonts w:ascii="Bookman Old Style" w:hAnsi="Bookman Old Style"/>
        <w:sz w:val="20"/>
        <w:szCs w:val="20"/>
      </w:rPr>
    </w:pPr>
    <w:r w:rsidRPr="00691E6B">
      <w:rPr>
        <w:rFonts w:ascii="Bookman Old Style" w:hAnsi="Bookman Old Style"/>
        <w:sz w:val="20"/>
        <w:szCs w:val="20"/>
      </w:rPr>
      <w:t>T +39 0376322242</w:t>
    </w:r>
    <w:r>
      <w:rPr>
        <w:rFonts w:ascii="Bookman Old Style" w:hAnsi="Bookman Old Style"/>
        <w:sz w:val="20"/>
        <w:szCs w:val="20"/>
      </w:rPr>
      <w:t xml:space="preserve"> info</w:t>
    </w:r>
    <w:r w:rsidRPr="00691E6B">
      <w:rPr>
        <w:rFonts w:ascii="Bookman Old Style" w:hAnsi="Bookman Old Style"/>
        <w:sz w:val="20"/>
        <w:szCs w:val="20"/>
      </w:rPr>
      <w:t>@museodarcomantova.it</w:t>
    </w:r>
    <w:r>
      <w:rPr>
        <w:rFonts w:ascii="Bookman Old Style" w:hAnsi="Bookman Old Style"/>
        <w:sz w:val="20"/>
        <w:szCs w:val="20"/>
      </w:rPr>
      <w:t xml:space="preserve"> </w:t>
    </w:r>
  </w:p>
  <w:p w:rsidR="006167AF" w:rsidRDefault="006167AF" w:rsidP="006167AF">
    <w:pPr>
      <w:pStyle w:val="Pidipagina"/>
      <w:jc w:val="center"/>
    </w:pPr>
    <w:r>
      <w:rPr>
        <w:rFonts w:ascii="Bookman Old Style" w:hAnsi="Bookman Old Style"/>
        <w:sz w:val="20"/>
        <w:szCs w:val="20"/>
      </w:rPr>
      <w:t>www.museodarcomantova</w:t>
    </w:r>
  </w:p>
  <w:p w:rsidR="006167AF" w:rsidRDefault="006167AF">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1CE4" w:rsidRDefault="00631CE4" w:rsidP="006167AF">
      <w:r>
        <w:separator/>
      </w:r>
    </w:p>
  </w:footnote>
  <w:footnote w:type="continuationSeparator" w:id="0">
    <w:p w:rsidR="00631CE4" w:rsidRDefault="00631CE4" w:rsidP="006167A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67AF" w:rsidRDefault="006167AF">
    <w:pPr>
      <w:pStyle w:val="Intestazione"/>
    </w:pPr>
  </w:p>
  <w:p w:rsidR="006167AF" w:rsidRPr="00C871F9" w:rsidRDefault="006167AF" w:rsidP="00A11880">
    <w:pPr>
      <w:rPr>
        <w:b/>
        <w:sz w:val="24"/>
        <w:szCs w:val="24"/>
      </w:rPr>
    </w:pPr>
    <w:r>
      <w:rPr>
        <w:noProof/>
        <w:lang w:bidi="ar-SA"/>
      </w:rPr>
      <w:drawing>
        <wp:inline distT="0" distB="0" distL="0" distR="0">
          <wp:extent cx="1352550" cy="1913048"/>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5.10.09 sp 20 logo nuovissim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2710" cy="1927418"/>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230E86"/>
    <w:multiLevelType w:val="hybridMultilevel"/>
    <w:tmpl w:val="87E28E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2"/>
  </w:compat>
  <w:rsids>
    <w:rsidRoot w:val="00613B5E"/>
    <w:rsid w:val="00015E65"/>
    <w:rsid w:val="00025282"/>
    <w:rsid w:val="00030F70"/>
    <w:rsid w:val="000314AE"/>
    <w:rsid w:val="000327F8"/>
    <w:rsid w:val="00046CD8"/>
    <w:rsid w:val="0007239B"/>
    <w:rsid w:val="000854F5"/>
    <w:rsid w:val="000858C8"/>
    <w:rsid w:val="000913FD"/>
    <w:rsid w:val="000936AC"/>
    <w:rsid w:val="0009426B"/>
    <w:rsid w:val="000A103B"/>
    <w:rsid w:val="000A2AEC"/>
    <w:rsid w:val="000D091C"/>
    <w:rsid w:val="000D386F"/>
    <w:rsid w:val="000D6D30"/>
    <w:rsid w:val="000F1719"/>
    <w:rsid w:val="000F1FE1"/>
    <w:rsid w:val="001048D4"/>
    <w:rsid w:val="00107A29"/>
    <w:rsid w:val="00132102"/>
    <w:rsid w:val="001321D3"/>
    <w:rsid w:val="0014411F"/>
    <w:rsid w:val="00150B2B"/>
    <w:rsid w:val="00165EDC"/>
    <w:rsid w:val="001717A2"/>
    <w:rsid w:val="00172F3E"/>
    <w:rsid w:val="00183BF6"/>
    <w:rsid w:val="001878E4"/>
    <w:rsid w:val="00192037"/>
    <w:rsid w:val="0019205A"/>
    <w:rsid w:val="0019403E"/>
    <w:rsid w:val="00197A50"/>
    <w:rsid w:val="001A06F1"/>
    <w:rsid w:val="001A53A8"/>
    <w:rsid w:val="001A6440"/>
    <w:rsid w:val="001B3D7F"/>
    <w:rsid w:val="001C79B6"/>
    <w:rsid w:val="001E1DC7"/>
    <w:rsid w:val="001F1351"/>
    <w:rsid w:val="00202760"/>
    <w:rsid w:val="00217B6A"/>
    <w:rsid w:val="00221340"/>
    <w:rsid w:val="00221A62"/>
    <w:rsid w:val="00230358"/>
    <w:rsid w:val="00232EE1"/>
    <w:rsid w:val="00233888"/>
    <w:rsid w:val="00236D13"/>
    <w:rsid w:val="00241FA9"/>
    <w:rsid w:val="002438B5"/>
    <w:rsid w:val="00244395"/>
    <w:rsid w:val="00252D74"/>
    <w:rsid w:val="002531FC"/>
    <w:rsid w:val="00257BFB"/>
    <w:rsid w:val="002618AB"/>
    <w:rsid w:val="00291AAD"/>
    <w:rsid w:val="002A4FB2"/>
    <w:rsid w:val="002A6418"/>
    <w:rsid w:val="002B3637"/>
    <w:rsid w:val="002C5955"/>
    <w:rsid w:val="002D6E04"/>
    <w:rsid w:val="00302711"/>
    <w:rsid w:val="00312275"/>
    <w:rsid w:val="00317C8D"/>
    <w:rsid w:val="00330659"/>
    <w:rsid w:val="0033547C"/>
    <w:rsid w:val="00335AD7"/>
    <w:rsid w:val="00350258"/>
    <w:rsid w:val="0035323E"/>
    <w:rsid w:val="0035504E"/>
    <w:rsid w:val="00361543"/>
    <w:rsid w:val="003659D7"/>
    <w:rsid w:val="0039295A"/>
    <w:rsid w:val="00394C8A"/>
    <w:rsid w:val="003A5222"/>
    <w:rsid w:val="003A7E73"/>
    <w:rsid w:val="003B1CD4"/>
    <w:rsid w:val="003B1CE3"/>
    <w:rsid w:val="003B1F2E"/>
    <w:rsid w:val="003D7140"/>
    <w:rsid w:val="003E1E37"/>
    <w:rsid w:val="003F5F4B"/>
    <w:rsid w:val="003F723F"/>
    <w:rsid w:val="004016DD"/>
    <w:rsid w:val="0040475E"/>
    <w:rsid w:val="004178E4"/>
    <w:rsid w:val="00451E35"/>
    <w:rsid w:val="00462D4D"/>
    <w:rsid w:val="004719BE"/>
    <w:rsid w:val="004757DB"/>
    <w:rsid w:val="004840F3"/>
    <w:rsid w:val="00493208"/>
    <w:rsid w:val="004B41AA"/>
    <w:rsid w:val="004B62EE"/>
    <w:rsid w:val="004C0FFE"/>
    <w:rsid w:val="004C1B38"/>
    <w:rsid w:val="004D509E"/>
    <w:rsid w:val="004D5EF9"/>
    <w:rsid w:val="004E67F0"/>
    <w:rsid w:val="00500FCD"/>
    <w:rsid w:val="005074D1"/>
    <w:rsid w:val="005107A6"/>
    <w:rsid w:val="0052324E"/>
    <w:rsid w:val="00553352"/>
    <w:rsid w:val="00553937"/>
    <w:rsid w:val="00554462"/>
    <w:rsid w:val="00557B69"/>
    <w:rsid w:val="00562E8A"/>
    <w:rsid w:val="005664BB"/>
    <w:rsid w:val="00567274"/>
    <w:rsid w:val="00575BF5"/>
    <w:rsid w:val="005776CF"/>
    <w:rsid w:val="0058090F"/>
    <w:rsid w:val="00582CB3"/>
    <w:rsid w:val="00596DBD"/>
    <w:rsid w:val="005A1375"/>
    <w:rsid w:val="005C3427"/>
    <w:rsid w:val="005D2179"/>
    <w:rsid w:val="005F077A"/>
    <w:rsid w:val="005F3500"/>
    <w:rsid w:val="00611D1E"/>
    <w:rsid w:val="00611DDA"/>
    <w:rsid w:val="00613B5E"/>
    <w:rsid w:val="00614780"/>
    <w:rsid w:val="006167AF"/>
    <w:rsid w:val="00626195"/>
    <w:rsid w:val="00631CE4"/>
    <w:rsid w:val="00642DC6"/>
    <w:rsid w:val="00646AFF"/>
    <w:rsid w:val="006515A9"/>
    <w:rsid w:val="00661437"/>
    <w:rsid w:val="0067010E"/>
    <w:rsid w:val="00684B6F"/>
    <w:rsid w:val="00686935"/>
    <w:rsid w:val="0069751A"/>
    <w:rsid w:val="006D45B6"/>
    <w:rsid w:val="006D52B9"/>
    <w:rsid w:val="006F556D"/>
    <w:rsid w:val="006F6945"/>
    <w:rsid w:val="0070297A"/>
    <w:rsid w:val="00714069"/>
    <w:rsid w:val="00717136"/>
    <w:rsid w:val="0073408C"/>
    <w:rsid w:val="00737889"/>
    <w:rsid w:val="00742F23"/>
    <w:rsid w:val="007703AB"/>
    <w:rsid w:val="007715E9"/>
    <w:rsid w:val="007A091D"/>
    <w:rsid w:val="007C32E0"/>
    <w:rsid w:val="007D1BDF"/>
    <w:rsid w:val="008137F0"/>
    <w:rsid w:val="00844AB5"/>
    <w:rsid w:val="008538A5"/>
    <w:rsid w:val="00874117"/>
    <w:rsid w:val="00885B8A"/>
    <w:rsid w:val="00886CBF"/>
    <w:rsid w:val="00887735"/>
    <w:rsid w:val="008955FA"/>
    <w:rsid w:val="00896617"/>
    <w:rsid w:val="008A411E"/>
    <w:rsid w:val="008A760F"/>
    <w:rsid w:val="008A7959"/>
    <w:rsid w:val="008B587D"/>
    <w:rsid w:val="008C07CD"/>
    <w:rsid w:val="008C3FF6"/>
    <w:rsid w:val="008C6EF9"/>
    <w:rsid w:val="008D0633"/>
    <w:rsid w:val="008D4B8E"/>
    <w:rsid w:val="008D5483"/>
    <w:rsid w:val="008E7BC2"/>
    <w:rsid w:val="00900D6D"/>
    <w:rsid w:val="00925F16"/>
    <w:rsid w:val="00935BCC"/>
    <w:rsid w:val="0093606D"/>
    <w:rsid w:val="00942A27"/>
    <w:rsid w:val="00945949"/>
    <w:rsid w:val="00946CAD"/>
    <w:rsid w:val="00947A41"/>
    <w:rsid w:val="0095323E"/>
    <w:rsid w:val="00962C3B"/>
    <w:rsid w:val="009802F6"/>
    <w:rsid w:val="009A3001"/>
    <w:rsid w:val="009B0ECE"/>
    <w:rsid w:val="009D17C0"/>
    <w:rsid w:val="009E3416"/>
    <w:rsid w:val="009E522C"/>
    <w:rsid w:val="009E55BA"/>
    <w:rsid w:val="009F2357"/>
    <w:rsid w:val="009F60BD"/>
    <w:rsid w:val="00A01854"/>
    <w:rsid w:val="00A11880"/>
    <w:rsid w:val="00A13BFD"/>
    <w:rsid w:val="00A2740C"/>
    <w:rsid w:val="00A3142A"/>
    <w:rsid w:val="00A36015"/>
    <w:rsid w:val="00A421B1"/>
    <w:rsid w:val="00A45775"/>
    <w:rsid w:val="00A46799"/>
    <w:rsid w:val="00A53310"/>
    <w:rsid w:val="00A60240"/>
    <w:rsid w:val="00A67362"/>
    <w:rsid w:val="00A91413"/>
    <w:rsid w:val="00A92EA3"/>
    <w:rsid w:val="00AB0506"/>
    <w:rsid w:val="00AB0CCD"/>
    <w:rsid w:val="00AF0682"/>
    <w:rsid w:val="00B01881"/>
    <w:rsid w:val="00B05A95"/>
    <w:rsid w:val="00B16501"/>
    <w:rsid w:val="00B414AD"/>
    <w:rsid w:val="00B41826"/>
    <w:rsid w:val="00B448D8"/>
    <w:rsid w:val="00B801EC"/>
    <w:rsid w:val="00B812DB"/>
    <w:rsid w:val="00B8445E"/>
    <w:rsid w:val="00B952E9"/>
    <w:rsid w:val="00BC39EE"/>
    <w:rsid w:val="00BC6556"/>
    <w:rsid w:val="00BD4477"/>
    <w:rsid w:val="00C16742"/>
    <w:rsid w:val="00C23B94"/>
    <w:rsid w:val="00C2515E"/>
    <w:rsid w:val="00C25FD3"/>
    <w:rsid w:val="00C27486"/>
    <w:rsid w:val="00C35B76"/>
    <w:rsid w:val="00C37733"/>
    <w:rsid w:val="00C4465A"/>
    <w:rsid w:val="00C45B8B"/>
    <w:rsid w:val="00C5374D"/>
    <w:rsid w:val="00C871F9"/>
    <w:rsid w:val="00C94119"/>
    <w:rsid w:val="00CA0C4E"/>
    <w:rsid w:val="00CC3128"/>
    <w:rsid w:val="00CD1E44"/>
    <w:rsid w:val="00CD37CC"/>
    <w:rsid w:val="00CE6C2C"/>
    <w:rsid w:val="00D169A6"/>
    <w:rsid w:val="00D179FA"/>
    <w:rsid w:val="00D222A6"/>
    <w:rsid w:val="00D23243"/>
    <w:rsid w:val="00D47F63"/>
    <w:rsid w:val="00D74EA8"/>
    <w:rsid w:val="00D77696"/>
    <w:rsid w:val="00D8508F"/>
    <w:rsid w:val="00DB0B81"/>
    <w:rsid w:val="00DB63FE"/>
    <w:rsid w:val="00DD1F49"/>
    <w:rsid w:val="00DE6512"/>
    <w:rsid w:val="00DF3F6A"/>
    <w:rsid w:val="00DF5309"/>
    <w:rsid w:val="00E00726"/>
    <w:rsid w:val="00E030F4"/>
    <w:rsid w:val="00E12CF6"/>
    <w:rsid w:val="00E1493F"/>
    <w:rsid w:val="00E242C5"/>
    <w:rsid w:val="00E24B59"/>
    <w:rsid w:val="00E375D4"/>
    <w:rsid w:val="00E53387"/>
    <w:rsid w:val="00E624F7"/>
    <w:rsid w:val="00EA0758"/>
    <w:rsid w:val="00EF1571"/>
    <w:rsid w:val="00EF2016"/>
    <w:rsid w:val="00F26A41"/>
    <w:rsid w:val="00F3250D"/>
    <w:rsid w:val="00F43367"/>
    <w:rsid w:val="00F559B8"/>
    <w:rsid w:val="00F56CFC"/>
    <w:rsid w:val="00F61997"/>
    <w:rsid w:val="00F741DA"/>
    <w:rsid w:val="00F821DC"/>
    <w:rsid w:val="00F971AB"/>
    <w:rsid w:val="00F97F7D"/>
    <w:rsid w:val="00FA1444"/>
    <w:rsid w:val="00FA38C0"/>
    <w:rsid w:val="00FB2CA5"/>
    <w:rsid w:val="00FB3D24"/>
    <w:rsid w:val="00FC1761"/>
    <w:rsid w:val="00FD00BB"/>
    <w:rsid w:val="00FD0B04"/>
    <w:rsid w:val="00FE3A79"/>
  </w:rsids>
  <m:mathPr>
    <m:mathFont m:val="Cambria Math"/>
    <m:brkBin m:val="before"/>
    <m:brkBinSub m:val="--"/>
    <m:smallFrac m:val="0"/>
    <m:dispDef/>
    <m:lMargin m:val="0"/>
    <m:rMargin m:val="0"/>
    <m:defJc m:val="centerGroup"/>
    <m:wrapIndent m:val="1440"/>
    <m:intLim m:val="subSup"/>
    <m:naryLim m:val="undOvr"/>
  </m:mathPr>
  <w:themeFontLang w:val="it-IT" w:eastAsia="zh-TW"/>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5:docId w15:val="{EDD896FE-DE00-4CC7-8878-E428CB4495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500FCD"/>
    <w:pPr>
      <w:spacing w:after="0" w:line="240" w:lineRule="auto"/>
    </w:pPr>
    <w:rPr>
      <w:rFonts w:ascii="Times New Roman" w:eastAsia="Times New Roman" w:hAnsi="Times New Roman" w:cs="Times New Roman"/>
      <w:color w:val="808080"/>
      <w:sz w:val="20"/>
      <w:szCs w:val="20"/>
      <w:lang w:eastAsia="it-IT" w:bidi="he-IL"/>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6167AF"/>
    <w:pPr>
      <w:tabs>
        <w:tab w:val="center" w:pos="4819"/>
        <w:tab w:val="right" w:pos="9638"/>
      </w:tabs>
    </w:pPr>
    <w:rPr>
      <w:rFonts w:asciiTheme="minorHAnsi" w:eastAsiaTheme="minorHAnsi" w:hAnsiTheme="minorHAnsi" w:cstheme="minorBidi"/>
      <w:color w:val="auto"/>
      <w:sz w:val="22"/>
      <w:szCs w:val="22"/>
      <w:lang w:eastAsia="en-US" w:bidi="ar-SA"/>
    </w:rPr>
  </w:style>
  <w:style w:type="character" w:customStyle="1" w:styleId="IntestazioneCarattere">
    <w:name w:val="Intestazione Carattere"/>
    <w:basedOn w:val="Carpredefinitoparagrafo"/>
    <w:link w:val="Intestazione"/>
    <w:uiPriority w:val="99"/>
    <w:rsid w:val="006167AF"/>
  </w:style>
  <w:style w:type="paragraph" w:styleId="Pidipagina">
    <w:name w:val="footer"/>
    <w:basedOn w:val="Normale"/>
    <w:link w:val="PidipaginaCarattere"/>
    <w:uiPriority w:val="99"/>
    <w:unhideWhenUsed/>
    <w:rsid w:val="006167AF"/>
    <w:pPr>
      <w:tabs>
        <w:tab w:val="center" w:pos="4819"/>
        <w:tab w:val="right" w:pos="9638"/>
      </w:tabs>
    </w:pPr>
    <w:rPr>
      <w:rFonts w:asciiTheme="minorHAnsi" w:eastAsiaTheme="minorHAnsi" w:hAnsiTheme="minorHAnsi" w:cstheme="minorBidi"/>
      <w:color w:val="auto"/>
      <w:sz w:val="22"/>
      <w:szCs w:val="22"/>
      <w:lang w:eastAsia="en-US" w:bidi="ar-SA"/>
    </w:rPr>
  </w:style>
  <w:style w:type="character" w:customStyle="1" w:styleId="PidipaginaCarattere">
    <w:name w:val="Piè di pagina Carattere"/>
    <w:basedOn w:val="Carpredefinitoparagrafo"/>
    <w:link w:val="Pidipagina"/>
    <w:uiPriority w:val="99"/>
    <w:rsid w:val="006167AF"/>
  </w:style>
  <w:style w:type="paragraph" w:styleId="Testofumetto">
    <w:name w:val="Balloon Text"/>
    <w:basedOn w:val="Normale"/>
    <w:link w:val="TestofumettoCarattere"/>
    <w:uiPriority w:val="99"/>
    <w:semiHidden/>
    <w:unhideWhenUsed/>
    <w:rsid w:val="008E7BC2"/>
    <w:rPr>
      <w:rFonts w:ascii="Segoe UI" w:eastAsiaTheme="minorHAnsi" w:hAnsi="Segoe UI" w:cs="Segoe UI"/>
      <w:color w:val="auto"/>
      <w:sz w:val="18"/>
      <w:szCs w:val="18"/>
      <w:lang w:eastAsia="en-US" w:bidi="ar-SA"/>
    </w:rPr>
  </w:style>
  <w:style w:type="character" w:customStyle="1" w:styleId="TestofumettoCarattere">
    <w:name w:val="Testo fumetto Carattere"/>
    <w:basedOn w:val="Carpredefinitoparagrafo"/>
    <w:link w:val="Testofumetto"/>
    <w:uiPriority w:val="99"/>
    <w:semiHidden/>
    <w:rsid w:val="008E7BC2"/>
    <w:rPr>
      <w:rFonts w:ascii="Segoe UI" w:hAnsi="Segoe UI" w:cs="Segoe UI"/>
      <w:sz w:val="18"/>
      <w:szCs w:val="18"/>
    </w:rPr>
  </w:style>
  <w:style w:type="character" w:styleId="Collegamentoipertestuale">
    <w:name w:val="Hyperlink"/>
    <w:basedOn w:val="Carpredefinitoparagrafo"/>
    <w:uiPriority w:val="99"/>
    <w:semiHidden/>
    <w:rsid w:val="00C45B8B"/>
    <w:rPr>
      <w:rFonts w:cs="Times New Roman"/>
      <w:color w:val="0563C1"/>
      <w:u w:val="single"/>
    </w:rPr>
  </w:style>
  <w:style w:type="paragraph" w:styleId="Paragrafoelenco">
    <w:name w:val="List Paragraph"/>
    <w:basedOn w:val="Normale"/>
    <w:uiPriority w:val="34"/>
    <w:qFormat/>
    <w:rsid w:val="00C45B8B"/>
    <w:pPr>
      <w:spacing w:after="160" w:line="259" w:lineRule="auto"/>
      <w:ind w:left="720"/>
      <w:contextualSpacing/>
    </w:pPr>
    <w:rPr>
      <w:rFonts w:ascii="Calibri" w:eastAsia="Calibri" w:hAnsi="Calibri"/>
      <w:color w:val="auto"/>
      <w:sz w:val="22"/>
      <w:szCs w:val="22"/>
      <w:lang w:eastAsia="en-US" w:bidi="ar-SA"/>
    </w:rPr>
  </w:style>
  <w:style w:type="paragraph" w:styleId="NormaleWeb">
    <w:name w:val="Normal (Web)"/>
    <w:basedOn w:val="Normale"/>
    <w:uiPriority w:val="99"/>
    <w:unhideWhenUsed/>
    <w:rsid w:val="000D6D30"/>
    <w:pPr>
      <w:spacing w:before="100" w:beforeAutospacing="1" w:after="100" w:afterAutospacing="1"/>
    </w:pPr>
    <w:rPr>
      <w:color w:val="auto"/>
      <w:sz w:val="24"/>
      <w:szCs w:val="24"/>
      <w:lang w:bidi="ar-SA"/>
    </w:rPr>
  </w:style>
  <w:style w:type="character" w:styleId="Enfasigrassetto">
    <w:name w:val="Strong"/>
    <w:basedOn w:val="Carpredefinitoparagrafo"/>
    <w:uiPriority w:val="22"/>
    <w:qFormat/>
    <w:rsid w:val="00A3142A"/>
    <w:rPr>
      <w:b/>
      <w:bCs/>
    </w:rPr>
  </w:style>
  <w:style w:type="character" w:customStyle="1" w:styleId="sc">
    <w:name w:val="sc"/>
    <w:basedOn w:val="Carpredefinitoparagrafo"/>
    <w:rsid w:val="00A3142A"/>
  </w:style>
  <w:style w:type="character" w:styleId="Enfasicorsivo">
    <w:name w:val="Emphasis"/>
    <w:basedOn w:val="Carpredefinitoparagrafo"/>
    <w:uiPriority w:val="20"/>
    <w:qFormat/>
    <w:rsid w:val="00A3142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5694018">
      <w:bodyDiv w:val="1"/>
      <w:marLeft w:val="0"/>
      <w:marRight w:val="0"/>
      <w:marTop w:val="0"/>
      <w:marBottom w:val="0"/>
      <w:divBdr>
        <w:top w:val="none" w:sz="0" w:space="0" w:color="auto"/>
        <w:left w:val="none" w:sz="0" w:space="0" w:color="auto"/>
        <w:bottom w:val="none" w:sz="0" w:space="0" w:color="auto"/>
        <w:right w:val="none" w:sz="0" w:space="0" w:color="auto"/>
      </w:divBdr>
    </w:div>
    <w:div w:id="451486627">
      <w:bodyDiv w:val="1"/>
      <w:marLeft w:val="0"/>
      <w:marRight w:val="0"/>
      <w:marTop w:val="0"/>
      <w:marBottom w:val="0"/>
      <w:divBdr>
        <w:top w:val="none" w:sz="0" w:space="0" w:color="auto"/>
        <w:left w:val="none" w:sz="0" w:space="0" w:color="auto"/>
        <w:bottom w:val="none" w:sz="0" w:space="0" w:color="auto"/>
        <w:right w:val="none" w:sz="0" w:space="0" w:color="auto"/>
      </w:divBdr>
    </w:div>
    <w:div w:id="2074960763">
      <w:bodyDiv w:val="1"/>
      <w:marLeft w:val="0"/>
      <w:marRight w:val="0"/>
      <w:marTop w:val="0"/>
      <w:marBottom w:val="0"/>
      <w:divBdr>
        <w:top w:val="none" w:sz="0" w:space="0" w:color="auto"/>
        <w:left w:val="none" w:sz="0" w:space="0" w:color="auto"/>
        <w:bottom w:val="none" w:sz="0" w:space="0" w:color="auto"/>
        <w:right w:val="none" w:sz="0" w:space="0" w:color="auto"/>
      </w:divBdr>
      <w:divsChild>
        <w:div w:id="970087387">
          <w:marLeft w:val="0"/>
          <w:marRight w:val="0"/>
          <w:marTop w:val="0"/>
          <w:marBottom w:val="0"/>
          <w:divBdr>
            <w:top w:val="none" w:sz="0" w:space="0" w:color="auto"/>
            <w:left w:val="none" w:sz="0" w:space="0" w:color="auto"/>
            <w:bottom w:val="none" w:sz="0" w:space="0" w:color="auto"/>
            <w:right w:val="none" w:sz="0" w:space="0" w:color="auto"/>
          </w:divBdr>
        </w:div>
        <w:div w:id="182060654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5E65A9-4FA5-4034-AA53-857D6AA160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1790</TotalTime>
  <Pages>2</Pages>
  <Words>771</Words>
  <Characters>4395</Characters>
  <Application>Microsoft Office Word</Application>
  <DocSecurity>0</DocSecurity>
  <Lines>36</Lines>
  <Paragraphs>10</Paragraphs>
  <ScaleCrop>false</ScaleCrop>
  <HeadingPairs>
    <vt:vector size="2" baseType="variant">
      <vt:variant>
        <vt:lpstr>Titolo</vt:lpstr>
      </vt:variant>
      <vt:variant>
        <vt:i4>1</vt:i4>
      </vt:variant>
    </vt:vector>
  </HeadingPairs>
  <TitlesOfParts>
    <vt:vector size="1" baseType="lpstr">
      <vt:lpstr/>
    </vt:vector>
  </TitlesOfParts>
  <Company>Hewlett-Packard Company</Company>
  <LinksUpToDate>false</LinksUpToDate>
  <CharactersWithSpaces>5156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61</cp:revision>
  <cp:lastPrinted>2017-10-12T10:22:00Z</cp:lastPrinted>
  <dcterms:created xsi:type="dcterms:W3CDTF">2017-05-31T08:28:00Z</dcterms:created>
  <dcterms:modified xsi:type="dcterms:W3CDTF">2020-06-24T14:47:00Z</dcterms:modified>
</cp:coreProperties>
</file>